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B43BC" w14:textId="77777777" w:rsidR="00094A6B" w:rsidRDefault="00094A6B" w:rsidP="0079358C">
      <w:pPr>
        <w:spacing w:after="0" w:line="240" w:lineRule="auto"/>
        <w:jc w:val="center"/>
        <w:rPr>
          <w:b/>
          <w:sz w:val="48"/>
          <w:szCs w:val="48"/>
        </w:rPr>
      </w:pPr>
    </w:p>
    <w:p w14:paraId="18824C6E" w14:textId="77777777" w:rsidR="00C94AC4" w:rsidRPr="003F7D4F" w:rsidRDefault="00C94AC4" w:rsidP="0079358C">
      <w:pPr>
        <w:spacing w:after="0" w:line="240" w:lineRule="auto"/>
        <w:jc w:val="center"/>
        <w:rPr>
          <w:b/>
          <w:sz w:val="28"/>
          <w:szCs w:val="28"/>
        </w:rPr>
      </w:pPr>
      <w:r w:rsidRPr="003F7D4F">
        <w:rPr>
          <w:b/>
          <w:sz w:val="28"/>
          <w:szCs w:val="28"/>
        </w:rPr>
        <w:t>Call for Abstracts</w:t>
      </w:r>
    </w:p>
    <w:p w14:paraId="59BAD63A" w14:textId="77777777" w:rsidR="00C94AC4" w:rsidRPr="003F7D4F" w:rsidRDefault="00C94AC4" w:rsidP="0079358C">
      <w:pPr>
        <w:spacing w:after="0" w:line="240" w:lineRule="auto"/>
        <w:jc w:val="center"/>
        <w:rPr>
          <w:b/>
          <w:sz w:val="24"/>
          <w:szCs w:val="24"/>
        </w:rPr>
      </w:pPr>
      <w:r w:rsidRPr="003F7D4F">
        <w:rPr>
          <w:b/>
          <w:sz w:val="24"/>
          <w:szCs w:val="24"/>
        </w:rPr>
        <w:t xml:space="preserve">NASPI Work Group </w:t>
      </w:r>
      <w:r w:rsidR="00CE2DA5" w:rsidRPr="003F7D4F">
        <w:rPr>
          <w:b/>
          <w:sz w:val="24"/>
          <w:szCs w:val="24"/>
        </w:rPr>
        <w:t>M</w:t>
      </w:r>
      <w:r w:rsidRPr="003F7D4F">
        <w:rPr>
          <w:b/>
          <w:sz w:val="24"/>
          <w:szCs w:val="24"/>
        </w:rPr>
        <w:t>eeting</w:t>
      </w:r>
    </w:p>
    <w:p w14:paraId="6FB946BC" w14:textId="185EE835" w:rsidR="00C94AC4" w:rsidRPr="003F7D4F" w:rsidRDefault="00234AAD" w:rsidP="0079358C">
      <w:pPr>
        <w:spacing w:after="0" w:line="240" w:lineRule="auto"/>
        <w:jc w:val="center"/>
        <w:rPr>
          <w:b/>
          <w:sz w:val="24"/>
          <w:szCs w:val="24"/>
        </w:rPr>
      </w:pPr>
      <w:r w:rsidRPr="003F7D4F">
        <w:rPr>
          <w:b/>
          <w:sz w:val="24"/>
          <w:szCs w:val="24"/>
        </w:rPr>
        <w:t>Minneapolis, MN</w:t>
      </w:r>
    </w:p>
    <w:p w14:paraId="31DB8811" w14:textId="045434D4" w:rsidR="00C94AC4" w:rsidRPr="003F7D4F" w:rsidRDefault="00C94AC4" w:rsidP="0079358C">
      <w:pPr>
        <w:spacing w:after="0" w:line="240" w:lineRule="auto"/>
        <w:jc w:val="center"/>
        <w:rPr>
          <w:b/>
          <w:sz w:val="24"/>
          <w:szCs w:val="24"/>
        </w:rPr>
      </w:pPr>
      <w:r w:rsidRPr="003F7D4F">
        <w:rPr>
          <w:b/>
          <w:sz w:val="24"/>
          <w:szCs w:val="24"/>
        </w:rPr>
        <w:t xml:space="preserve">April </w:t>
      </w:r>
      <w:r w:rsidR="008B03F0" w:rsidRPr="003F7D4F">
        <w:rPr>
          <w:b/>
          <w:sz w:val="24"/>
          <w:szCs w:val="24"/>
        </w:rPr>
        <w:t xml:space="preserve">15 </w:t>
      </w:r>
      <w:r w:rsidRPr="003F7D4F">
        <w:rPr>
          <w:b/>
          <w:sz w:val="24"/>
          <w:szCs w:val="24"/>
        </w:rPr>
        <w:t>-</w:t>
      </w:r>
      <w:r w:rsidR="008B03F0" w:rsidRPr="003F7D4F">
        <w:rPr>
          <w:b/>
          <w:sz w:val="24"/>
          <w:szCs w:val="24"/>
        </w:rPr>
        <w:t>1</w:t>
      </w:r>
      <w:r w:rsidR="00234AAD" w:rsidRPr="003F7D4F">
        <w:rPr>
          <w:b/>
          <w:sz w:val="24"/>
          <w:szCs w:val="24"/>
        </w:rPr>
        <w:t>6</w:t>
      </w:r>
      <w:r w:rsidRPr="003F7D4F">
        <w:rPr>
          <w:b/>
          <w:sz w:val="24"/>
          <w:szCs w:val="24"/>
        </w:rPr>
        <w:t>, 20</w:t>
      </w:r>
      <w:r w:rsidR="00234AAD" w:rsidRPr="003F7D4F">
        <w:rPr>
          <w:b/>
          <w:sz w:val="24"/>
          <w:szCs w:val="24"/>
        </w:rPr>
        <w:t>20</w:t>
      </w:r>
    </w:p>
    <w:p w14:paraId="4DFFD20F" w14:textId="77777777" w:rsidR="00C94AC4" w:rsidRDefault="00C94AC4" w:rsidP="0079358C">
      <w:pPr>
        <w:spacing w:after="0" w:line="240" w:lineRule="auto"/>
      </w:pPr>
    </w:p>
    <w:p w14:paraId="6A2A7A24" w14:textId="77777777" w:rsidR="002155B9" w:rsidRDefault="002155B9" w:rsidP="0079358C">
      <w:pPr>
        <w:spacing w:after="0" w:line="240" w:lineRule="auto"/>
      </w:pPr>
    </w:p>
    <w:p w14:paraId="184EF32E" w14:textId="729A68F2" w:rsidR="00234AAD" w:rsidRPr="003F7D4F" w:rsidRDefault="00234AAD" w:rsidP="00234AAD">
      <w:pPr>
        <w:spacing w:after="0" w:line="240" w:lineRule="auto"/>
        <w:rPr>
          <w:sz w:val="20"/>
          <w:szCs w:val="20"/>
        </w:rPr>
      </w:pPr>
      <w:r w:rsidRPr="003F7D4F">
        <w:rPr>
          <w:sz w:val="20"/>
          <w:szCs w:val="20"/>
        </w:rPr>
        <w:t xml:space="preserve">The North American Synchrophasor Initiative (NASPI) will hold its 2020 spring meeting in Minneapolis, Minnesota, April 15-16, 2020. We invite members of the synchrophasor community to submit abstracts to be considered for presentation at the meeting. </w:t>
      </w:r>
      <w:r w:rsidR="00094A6B" w:rsidRPr="003F7D4F">
        <w:rPr>
          <w:sz w:val="20"/>
          <w:szCs w:val="20"/>
        </w:rPr>
        <w:t xml:space="preserve">We are particularly interested in receiving abstracts </w:t>
      </w:r>
      <w:r w:rsidR="00C878B0" w:rsidRPr="003F7D4F">
        <w:rPr>
          <w:sz w:val="20"/>
          <w:szCs w:val="20"/>
        </w:rPr>
        <w:t xml:space="preserve">that </w:t>
      </w:r>
      <w:r w:rsidR="00965E4E" w:rsidRPr="003F7D4F">
        <w:rPr>
          <w:sz w:val="20"/>
          <w:szCs w:val="20"/>
        </w:rPr>
        <w:t>showcas</w:t>
      </w:r>
      <w:r w:rsidR="00C878B0" w:rsidRPr="003F7D4F">
        <w:rPr>
          <w:sz w:val="20"/>
          <w:szCs w:val="20"/>
        </w:rPr>
        <w:t>e</w:t>
      </w:r>
      <w:r w:rsidR="00965E4E" w:rsidRPr="003F7D4F">
        <w:rPr>
          <w:sz w:val="20"/>
          <w:szCs w:val="20"/>
        </w:rPr>
        <w:t xml:space="preserve"> innovative and novel applications of synchrophasor technology to solve operational or planning electric power reliability and resilience challenges.  </w:t>
      </w:r>
      <w:r w:rsidRPr="003F7D4F">
        <w:rPr>
          <w:sz w:val="20"/>
          <w:szCs w:val="20"/>
        </w:rPr>
        <w:t xml:space="preserve">We encourage you to submit abstracts for presentations in the following focus areas: </w:t>
      </w:r>
    </w:p>
    <w:p w14:paraId="27D3EF99" w14:textId="77777777" w:rsidR="00234AAD" w:rsidRPr="003F7D4F" w:rsidRDefault="00234AAD" w:rsidP="00234AAD">
      <w:pPr>
        <w:spacing w:after="0" w:line="240" w:lineRule="auto"/>
        <w:rPr>
          <w:sz w:val="20"/>
          <w:szCs w:val="20"/>
        </w:rPr>
      </w:pPr>
    </w:p>
    <w:p w14:paraId="089B89CA" w14:textId="0AC96682" w:rsidR="00234AAD" w:rsidRPr="003F7D4F" w:rsidRDefault="00234AAD" w:rsidP="003F7D4F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3F7D4F">
        <w:rPr>
          <w:sz w:val="20"/>
          <w:szCs w:val="20"/>
        </w:rPr>
        <w:t>Sync</w:t>
      </w:r>
      <w:r w:rsidR="002120E7">
        <w:rPr>
          <w:sz w:val="20"/>
          <w:szCs w:val="20"/>
        </w:rPr>
        <w:t>h</w:t>
      </w:r>
      <w:r w:rsidRPr="003F7D4F">
        <w:rPr>
          <w:sz w:val="20"/>
          <w:szCs w:val="20"/>
        </w:rPr>
        <w:t>rophasor Deployment Success Stories and Lessons Learned</w:t>
      </w:r>
    </w:p>
    <w:p w14:paraId="5201CF9E" w14:textId="6EF501B8" w:rsidR="00234AAD" w:rsidRPr="003F7D4F" w:rsidRDefault="00234AAD" w:rsidP="003F7D4F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3F7D4F">
        <w:rPr>
          <w:sz w:val="20"/>
          <w:szCs w:val="20"/>
        </w:rPr>
        <w:t>Control Room Deployment</w:t>
      </w:r>
    </w:p>
    <w:p w14:paraId="2A86B3F2" w14:textId="28C51C95" w:rsidR="00234AAD" w:rsidRPr="003F7D4F" w:rsidRDefault="00234AAD" w:rsidP="003F7D4F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3F7D4F">
        <w:rPr>
          <w:sz w:val="20"/>
          <w:szCs w:val="20"/>
        </w:rPr>
        <w:t>Advance</w:t>
      </w:r>
      <w:r w:rsidR="00D86F3D">
        <w:rPr>
          <w:sz w:val="20"/>
          <w:szCs w:val="20"/>
        </w:rPr>
        <w:t>d</w:t>
      </w:r>
      <w:r w:rsidRPr="003F7D4F">
        <w:rPr>
          <w:sz w:val="20"/>
          <w:szCs w:val="20"/>
        </w:rPr>
        <w:t xml:space="preserve"> Sensing and Measurement Technology</w:t>
      </w:r>
    </w:p>
    <w:p w14:paraId="0CB212B3" w14:textId="28B8F4AA" w:rsidR="00234AAD" w:rsidRPr="003F7D4F" w:rsidRDefault="00234AAD" w:rsidP="003F7D4F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3F7D4F">
        <w:rPr>
          <w:sz w:val="20"/>
          <w:szCs w:val="20"/>
        </w:rPr>
        <w:t>Advance</w:t>
      </w:r>
      <w:r w:rsidR="00D86F3D">
        <w:rPr>
          <w:sz w:val="20"/>
          <w:szCs w:val="20"/>
        </w:rPr>
        <w:t>d</w:t>
      </w:r>
      <w:r w:rsidRPr="003F7D4F">
        <w:rPr>
          <w:sz w:val="20"/>
          <w:szCs w:val="20"/>
        </w:rPr>
        <w:t xml:space="preserve"> Data Analytics</w:t>
      </w:r>
    </w:p>
    <w:p w14:paraId="40CDA928" w14:textId="39617E65" w:rsidR="00234AAD" w:rsidRPr="003F7D4F" w:rsidRDefault="00234AAD" w:rsidP="003F7D4F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3F7D4F">
        <w:rPr>
          <w:sz w:val="20"/>
          <w:szCs w:val="20"/>
        </w:rPr>
        <w:t>Dynamic Control Utilizing Wide</w:t>
      </w:r>
      <w:r w:rsidR="00D86F3D">
        <w:rPr>
          <w:sz w:val="20"/>
          <w:szCs w:val="20"/>
        </w:rPr>
        <w:t>-</w:t>
      </w:r>
      <w:r w:rsidRPr="003F7D4F">
        <w:rPr>
          <w:sz w:val="20"/>
          <w:szCs w:val="20"/>
        </w:rPr>
        <w:t>Area Time</w:t>
      </w:r>
      <w:r w:rsidR="00D86F3D">
        <w:rPr>
          <w:sz w:val="20"/>
          <w:szCs w:val="20"/>
        </w:rPr>
        <w:t>-</w:t>
      </w:r>
      <w:r w:rsidRPr="003F7D4F">
        <w:rPr>
          <w:sz w:val="20"/>
          <w:szCs w:val="20"/>
        </w:rPr>
        <w:t>Synchronized Measurements</w:t>
      </w:r>
    </w:p>
    <w:p w14:paraId="64844CA0" w14:textId="79F7ED71" w:rsidR="00094A6B" w:rsidRPr="003F7D4F" w:rsidRDefault="00094A6B" w:rsidP="0079358C">
      <w:pPr>
        <w:spacing w:after="0" w:line="240" w:lineRule="auto"/>
        <w:rPr>
          <w:sz w:val="20"/>
          <w:szCs w:val="20"/>
        </w:rPr>
      </w:pPr>
      <w:r w:rsidRPr="003F7D4F">
        <w:rPr>
          <w:sz w:val="20"/>
          <w:szCs w:val="20"/>
        </w:rPr>
        <w:t xml:space="preserve"> </w:t>
      </w:r>
    </w:p>
    <w:p w14:paraId="427C8A0A" w14:textId="77777777" w:rsidR="00094A6B" w:rsidRPr="003F7D4F" w:rsidRDefault="00094A6B" w:rsidP="00094A6B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3F7D4F">
        <w:rPr>
          <w:rFonts w:asciiTheme="minorHAnsi" w:hAnsiTheme="minorHAnsi"/>
          <w:b/>
          <w:bCs/>
          <w:sz w:val="20"/>
          <w:szCs w:val="20"/>
        </w:rPr>
        <w:t xml:space="preserve">Detailed Abstract Submission Instructions </w:t>
      </w:r>
    </w:p>
    <w:p w14:paraId="3EC87B66" w14:textId="77777777" w:rsidR="00094A6B" w:rsidRPr="003F7D4F" w:rsidRDefault="00094A6B" w:rsidP="00094A6B">
      <w:pPr>
        <w:pStyle w:val="Default"/>
        <w:rPr>
          <w:rFonts w:asciiTheme="minorHAnsi" w:hAnsiTheme="minorHAnsi"/>
          <w:sz w:val="20"/>
          <w:szCs w:val="20"/>
        </w:rPr>
      </w:pPr>
    </w:p>
    <w:p w14:paraId="2C32C2C2" w14:textId="5902A721" w:rsidR="00094A6B" w:rsidRPr="003F7D4F" w:rsidRDefault="00094A6B" w:rsidP="00094A6B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3F7D4F">
        <w:rPr>
          <w:rFonts w:asciiTheme="minorHAnsi" w:hAnsiTheme="minorHAnsi"/>
          <w:sz w:val="20"/>
          <w:szCs w:val="20"/>
        </w:rPr>
        <w:t xml:space="preserve">NASPI will not require submittal of papers; individuals who wish to present at the Work Group meeting should email an abstract (using the submittal information listed below) to </w:t>
      </w:r>
      <w:hyperlink r:id="rId10" w:history="1">
        <w:r w:rsidR="00CD1E7B" w:rsidRPr="003F7D4F">
          <w:rPr>
            <w:rStyle w:val="Hyperlink"/>
            <w:rFonts w:asciiTheme="minorHAnsi" w:hAnsiTheme="minorHAnsi"/>
            <w:b/>
            <w:bCs/>
            <w:sz w:val="20"/>
            <w:szCs w:val="20"/>
          </w:rPr>
          <w:t>naspi@pnnl.gov</w:t>
        </w:r>
      </w:hyperlink>
      <w:r w:rsidR="00CD1E7B" w:rsidRPr="003F7D4F">
        <w:rPr>
          <w:rFonts w:asciiTheme="minorHAnsi" w:hAnsiTheme="minorHAnsi"/>
          <w:b/>
          <w:bCs/>
          <w:color w:val="0461C1"/>
          <w:sz w:val="20"/>
          <w:szCs w:val="20"/>
        </w:rPr>
        <w:t xml:space="preserve"> </w:t>
      </w:r>
      <w:r w:rsidRPr="003F7D4F">
        <w:rPr>
          <w:rFonts w:asciiTheme="minorHAnsi" w:hAnsiTheme="minorHAnsi"/>
          <w:b/>
          <w:bCs/>
          <w:color w:val="0461C1"/>
          <w:sz w:val="20"/>
          <w:szCs w:val="20"/>
        </w:rPr>
        <w:t xml:space="preserve"> </w:t>
      </w:r>
      <w:r w:rsidRPr="003F7D4F">
        <w:rPr>
          <w:rFonts w:asciiTheme="minorHAnsi" w:hAnsiTheme="minorHAnsi"/>
          <w:sz w:val="20"/>
          <w:szCs w:val="20"/>
        </w:rPr>
        <w:t xml:space="preserve">no later than </w:t>
      </w:r>
      <w:r w:rsidRPr="003F7D4F">
        <w:rPr>
          <w:rFonts w:asciiTheme="minorHAnsi" w:hAnsiTheme="minorHAnsi"/>
          <w:b/>
          <w:bCs/>
          <w:sz w:val="20"/>
          <w:szCs w:val="20"/>
        </w:rPr>
        <w:t xml:space="preserve">January </w:t>
      </w:r>
      <w:r w:rsidR="00A00E8D" w:rsidRPr="003F7D4F">
        <w:rPr>
          <w:rFonts w:asciiTheme="minorHAnsi" w:hAnsiTheme="minorHAnsi"/>
          <w:b/>
          <w:bCs/>
          <w:sz w:val="20"/>
          <w:szCs w:val="20"/>
        </w:rPr>
        <w:t>31</w:t>
      </w:r>
      <w:r w:rsidRPr="003F7D4F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="00234AAD" w:rsidRPr="003F7D4F">
        <w:rPr>
          <w:rFonts w:asciiTheme="minorHAnsi" w:hAnsiTheme="minorHAnsi"/>
          <w:b/>
          <w:bCs/>
          <w:sz w:val="20"/>
          <w:szCs w:val="20"/>
        </w:rPr>
        <w:t>2020.</w:t>
      </w:r>
      <w:r w:rsidRPr="003F7D4F">
        <w:rPr>
          <w:rFonts w:asciiTheme="minorHAnsi" w:hAnsiTheme="minorHAnsi"/>
          <w:sz w:val="20"/>
          <w:szCs w:val="20"/>
        </w:rPr>
        <w:t xml:space="preserve"> The NASPI leadership team will review the submissions to determine which presentations will be selected. </w:t>
      </w:r>
      <w:r w:rsidR="00FF4FE9" w:rsidRPr="003F7D4F">
        <w:rPr>
          <w:rFonts w:asciiTheme="minorHAnsi" w:hAnsiTheme="minorHAnsi"/>
          <w:sz w:val="20"/>
          <w:szCs w:val="20"/>
        </w:rPr>
        <w:t xml:space="preserve">Based on the number of abstracts submitted in each of the technical areas of interest, the NASPI leadership team may also invite abstract submitters to participate in the poster session. </w:t>
      </w:r>
      <w:r w:rsidR="00CD1E7B" w:rsidRPr="003F7D4F">
        <w:rPr>
          <w:rFonts w:asciiTheme="minorHAnsi" w:hAnsiTheme="minorHAnsi"/>
          <w:sz w:val="20"/>
          <w:szCs w:val="20"/>
        </w:rPr>
        <w:t>The poster session will be hosted during the NASPI reception April 1</w:t>
      </w:r>
      <w:r w:rsidR="00234AAD" w:rsidRPr="003F7D4F">
        <w:rPr>
          <w:rFonts w:asciiTheme="minorHAnsi" w:hAnsiTheme="minorHAnsi"/>
          <w:sz w:val="20"/>
          <w:szCs w:val="20"/>
        </w:rPr>
        <w:t>5</w:t>
      </w:r>
      <w:r w:rsidR="00CD1E7B" w:rsidRPr="003F7D4F">
        <w:rPr>
          <w:rFonts w:asciiTheme="minorHAnsi" w:hAnsiTheme="minorHAnsi"/>
          <w:sz w:val="20"/>
          <w:szCs w:val="20"/>
        </w:rPr>
        <w:t xml:space="preserve">th.  </w:t>
      </w:r>
      <w:r w:rsidRPr="003F7D4F">
        <w:rPr>
          <w:rFonts w:asciiTheme="minorHAnsi" w:hAnsiTheme="minorHAnsi"/>
          <w:sz w:val="20"/>
          <w:szCs w:val="20"/>
        </w:rPr>
        <w:t xml:space="preserve">We will notify all abstract submitters of their acceptance no later than </w:t>
      </w:r>
      <w:r w:rsidRPr="003F7D4F">
        <w:rPr>
          <w:rFonts w:asciiTheme="minorHAnsi" w:hAnsiTheme="minorHAnsi"/>
          <w:b/>
          <w:bCs/>
          <w:sz w:val="20"/>
          <w:szCs w:val="20"/>
        </w:rPr>
        <w:t>March 1, 20</w:t>
      </w:r>
      <w:r w:rsidR="002120E7">
        <w:rPr>
          <w:rFonts w:asciiTheme="minorHAnsi" w:hAnsiTheme="minorHAnsi"/>
          <w:b/>
          <w:bCs/>
          <w:sz w:val="20"/>
          <w:szCs w:val="20"/>
        </w:rPr>
        <w:t>20</w:t>
      </w:r>
      <w:r w:rsidRPr="003F7D4F">
        <w:rPr>
          <w:rFonts w:asciiTheme="minorHAnsi" w:hAnsiTheme="minorHAnsi"/>
          <w:sz w:val="20"/>
          <w:szCs w:val="20"/>
        </w:rPr>
        <w:t xml:space="preserve">. Questions about the call for abstracts can be emailed to </w:t>
      </w:r>
      <w:hyperlink r:id="rId11" w:history="1">
        <w:r w:rsidR="00483434" w:rsidRPr="003F7D4F">
          <w:rPr>
            <w:rStyle w:val="Hyperlink"/>
            <w:rFonts w:asciiTheme="minorHAnsi" w:hAnsiTheme="minorHAnsi"/>
            <w:b/>
            <w:bCs/>
            <w:sz w:val="20"/>
            <w:szCs w:val="20"/>
          </w:rPr>
          <w:t>naspi@pnnl.gov</w:t>
        </w:r>
      </w:hyperlink>
      <w:r w:rsidR="00483434" w:rsidRPr="003F7D4F">
        <w:rPr>
          <w:rFonts w:asciiTheme="minorHAnsi" w:hAnsiTheme="minorHAnsi"/>
          <w:b/>
          <w:bCs/>
          <w:color w:val="0461C1"/>
          <w:sz w:val="20"/>
          <w:szCs w:val="20"/>
        </w:rPr>
        <w:t>.</w:t>
      </w:r>
      <w:r w:rsidRPr="003F7D4F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1089AC78" w14:textId="77777777" w:rsidR="00CD1E7B" w:rsidRPr="003F7D4F" w:rsidRDefault="00CD1E7B" w:rsidP="00094A6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0CAA32F1" w14:textId="3B5E6AB1" w:rsidR="00CD1E7B" w:rsidRPr="003F7D4F" w:rsidRDefault="00CD1E7B" w:rsidP="00094A6B">
      <w:pPr>
        <w:pStyle w:val="Default"/>
        <w:rPr>
          <w:rFonts w:asciiTheme="minorHAnsi" w:hAnsiTheme="minorHAnsi"/>
          <w:b/>
          <w:bCs/>
          <w:i/>
          <w:sz w:val="20"/>
          <w:szCs w:val="20"/>
        </w:rPr>
      </w:pPr>
      <w:r w:rsidRPr="003F7D4F">
        <w:rPr>
          <w:rFonts w:asciiTheme="minorHAnsi" w:hAnsiTheme="minorHAnsi"/>
          <w:b/>
          <w:bCs/>
          <w:i/>
          <w:sz w:val="20"/>
          <w:szCs w:val="20"/>
        </w:rPr>
        <w:t>By submitting an abstract and later providing a presentation at the meeting, the submitter grants NASPI permission to publicly post the presentation and share their name, affiliation and email through on-line posting on the NASPI website following the meeting.</w:t>
      </w:r>
    </w:p>
    <w:p w14:paraId="0980EFEB" w14:textId="77777777" w:rsidR="00483434" w:rsidRDefault="00483434" w:rsidP="00094A6B">
      <w:pPr>
        <w:pStyle w:val="Default"/>
        <w:rPr>
          <w:rFonts w:asciiTheme="minorHAnsi" w:hAnsiTheme="minorHAnsi"/>
          <w:b/>
          <w:bCs/>
          <w:i/>
        </w:rPr>
      </w:pPr>
    </w:p>
    <w:p w14:paraId="7BE7288C" w14:textId="23B0D3CB" w:rsidR="003F7D4F" w:rsidRPr="003F7D4F" w:rsidRDefault="003F7D4F" w:rsidP="003F7D4F">
      <w:pPr>
        <w:spacing w:line="244" w:lineRule="exact"/>
        <w:rPr>
          <w:rFonts w:eastAsia="Arial" w:cstheme="minorHAnsi"/>
          <w:b/>
          <w:sz w:val="20"/>
          <w:szCs w:val="20"/>
        </w:rPr>
      </w:pPr>
      <w:r w:rsidRPr="003F7D4F">
        <w:rPr>
          <w:rFonts w:eastAsia="Arial" w:cstheme="minorHAnsi"/>
          <w:b/>
          <w:sz w:val="20"/>
          <w:szCs w:val="20"/>
        </w:rPr>
        <w:t>Abstract Format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7645"/>
        <w:gridCol w:w="1349"/>
        <w:gridCol w:w="1441"/>
      </w:tblGrid>
      <w:tr w:rsidR="003F7D4F" w:rsidRPr="003F7D4F" w14:paraId="487C67E8" w14:textId="2538EB67" w:rsidTr="003F7D4F">
        <w:tc>
          <w:tcPr>
            <w:tcW w:w="10435" w:type="dxa"/>
            <w:gridSpan w:val="3"/>
          </w:tcPr>
          <w:p w14:paraId="13AB8C3D" w14:textId="4F42AF3A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Abstract Title:</w:t>
            </w:r>
          </w:p>
        </w:tc>
      </w:tr>
      <w:tr w:rsidR="003F7D4F" w:rsidRPr="003F7D4F" w14:paraId="28D72CEF" w14:textId="372FB985" w:rsidTr="003F7D4F">
        <w:tc>
          <w:tcPr>
            <w:tcW w:w="10435" w:type="dxa"/>
            <w:gridSpan w:val="3"/>
          </w:tcPr>
          <w:p w14:paraId="3CECEBBC" w14:textId="653E2399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72C5F8B9" w14:textId="681C674F" w:rsidTr="003F7D4F">
        <w:tc>
          <w:tcPr>
            <w:tcW w:w="7645" w:type="dxa"/>
          </w:tcPr>
          <w:p w14:paraId="61E39487" w14:textId="56866B6A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Author(s)</w:t>
            </w:r>
          </w:p>
        </w:tc>
        <w:tc>
          <w:tcPr>
            <w:tcW w:w="1349" w:type="dxa"/>
          </w:tcPr>
          <w:p w14:paraId="76404375" w14:textId="03B02B14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Presenter</w:t>
            </w:r>
          </w:p>
        </w:tc>
        <w:tc>
          <w:tcPr>
            <w:tcW w:w="1441" w:type="dxa"/>
          </w:tcPr>
          <w:p w14:paraId="24B41DA3" w14:textId="148EBF2F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VISA required</w:t>
            </w:r>
          </w:p>
        </w:tc>
      </w:tr>
      <w:tr w:rsidR="003F7D4F" w:rsidRPr="003F7D4F" w14:paraId="51CE7BED" w14:textId="2CE1CB2F" w:rsidTr="003F7D4F">
        <w:tc>
          <w:tcPr>
            <w:tcW w:w="7645" w:type="dxa"/>
          </w:tcPr>
          <w:p w14:paraId="2FE3D0D0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1349" w:type="dxa"/>
          </w:tcPr>
          <w:p w14:paraId="459A0638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6D3CA329" w14:textId="1A68E80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1AA942EC" w14:textId="4A4C5AF9" w:rsidTr="003F7D4F">
        <w:tc>
          <w:tcPr>
            <w:tcW w:w="7645" w:type="dxa"/>
          </w:tcPr>
          <w:p w14:paraId="79750E0F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Affiliation:</w:t>
            </w:r>
          </w:p>
        </w:tc>
        <w:tc>
          <w:tcPr>
            <w:tcW w:w="1349" w:type="dxa"/>
          </w:tcPr>
          <w:p w14:paraId="71D19C6C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6E4ADEB1" w14:textId="40ED7C98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42DD8F33" w14:textId="494E1D24" w:rsidTr="003F7D4F">
        <w:tc>
          <w:tcPr>
            <w:tcW w:w="7645" w:type="dxa"/>
          </w:tcPr>
          <w:p w14:paraId="6A7919BE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1349" w:type="dxa"/>
          </w:tcPr>
          <w:p w14:paraId="485AACEC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54C0DD32" w14:textId="116AC6D6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40A36AFE" w14:textId="05F2AF51" w:rsidTr="003F7D4F">
        <w:tc>
          <w:tcPr>
            <w:tcW w:w="7645" w:type="dxa"/>
          </w:tcPr>
          <w:p w14:paraId="48CB7710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14:paraId="3B08DD07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4A3C7C55" w14:textId="59A8C7E1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05D9B1DA" w14:textId="0D7AB4C7" w:rsidTr="003F7D4F">
        <w:tc>
          <w:tcPr>
            <w:tcW w:w="7645" w:type="dxa"/>
          </w:tcPr>
          <w:p w14:paraId="584C655E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1349" w:type="dxa"/>
          </w:tcPr>
          <w:p w14:paraId="46B57C6C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3775FF59" w14:textId="5E142AA9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1334CDEC" w14:textId="44D1D6FE" w:rsidTr="003F7D4F">
        <w:tc>
          <w:tcPr>
            <w:tcW w:w="7645" w:type="dxa"/>
          </w:tcPr>
          <w:p w14:paraId="0B889E7D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Affiliation:</w:t>
            </w:r>
          </w:p>
        </w:tc>
        <w:tc>
          <w:tcPr>
            <w:tcW w:w="1349" w:type="dxa"/>
          </w:tcPr>
          <w:p w14:paraId="4794FBBD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4131AA10" w14:textId="3B730BB5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2043D246" w14:textId="2955EED9" w:rsidTr="003F7D4F">
        <w:tc>
          <w:tcPr>
            <w:tcW w:w="7645" w:type="dxa"/>
          </w:tcPr>
          <w:p w14:paraId="6BCC8629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1349" w:type="dxa"/>
          </w:tcPr>
          <w:p w14:paraId="0E4953A1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60B8B5CD" w14:textId="398A6B76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7D8F33B4" w14:textId="29235171" w:rsidTr="003F7D4F">
        <w:tc>
          <w:tcPr>
            <w:tcW w:w="7645" w:type="dxa"/>
          </w:tcPr>
          <w:p w14:paraId="64E6992D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14:paraId="365BC04A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4AF818F8" w14:textId="2E19FF16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40597420" w14:textId="2AE2AF6C" w:rsidTr="003F7D4F">
        <w:tc>
          <w:tcPr>
            <w:tcW w:w="7645" w:type="dxa"/>
          </w:tcPr>
          <w:p w14:paraId="79BF70DB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1349" w:type="dxa"/>
          </w:tcPr>
          <w:p w14:paraId="2BBA5594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55708718" w14:textId="78ECB3CA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2A58FDC0" w14:textId="58FB7AC9" w:rsidTr="003F7D4F">
        <w:tc>
          <w:tcPr>
            <w:tcW w:w="7645" w:type="dxa"/>
          </w:tcPr>
          <w:p w14:paraId="42C8BF20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Affiliation:</w:t>
            </w:r>
          </w:p>
        </w:tc>
        <w:tc>
          <w:tcPr>
            <w:tcW w:w="1349" w:type="dxa"/>
          </w:tcPr>
          <w:p w14:paraId="7893EF65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42A24D68" w14:textId="2671D8B9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5B6FE6F1" w14:textId="67806732" w:rsidTr="003F7D4F">
        <w:tc>
          <w:tcPr>
            <w:tcW w:w="7645" w:type="dxa"/>
          </w:tcPr>
          <w:p w14:paraId="330B8166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  <w:r w:rsidRPr="003F7D4F">
              <w:rPr>
                <w:rFonts w:eastAsia="Arial" w:cstheme="minorHAnsi"/>
                <w:b/>
                <w:sz w:val="20"/>
                <w:szCs w:val="20"/>
              </w:rPr>
              <w:t>Email address:</w:t>
            </w:r>
            <w:bookmarkStart w:id="0" w:name="_GoBack"/>
            <w:bookmarkEnd w:id="0"/>
          </w:p>
        </w:tc>
        <w:tc>
          <w:tcPr>
            <w:tcW w:w="1349" w:type="dxa"/>
          </w:tcPr>
          <w:p w14:paraId="54AE73B7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4403CFE4" w14:textId="5E53ECC0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075D9279" w14:textId="614B38CA" w:rsidTr="003F7D4F">
        <w:tc>
          <w:tcPr>
            <w:tcW w:w="7645" w:type="dxa"/>
          </w:tcPr>
          <w:p w14:paraId="07A606BF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14:paraId="0993223B" w14:textId="77777777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14:paraId="1DCE8ADB" w14:textId="439A17E2" w:rsidR="003F7D4F" w:rsidRPr="003F7D4F" w:rsidRDefault="003F7D4F" w:rsidP="002A3AA5">
            <w:pPr>
              <w:spacing w:line="244" w:lineRule="exact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7D4F" w:rsidRPr="003F7D4F" w14:paraId="1EA135C8" w14:textId="086F2CD8" w:rsidTr="00CC0337">
        <w:tc>
          <w:tcPr>
            <w:tcW w:w="10435" w:type="dxa"/>
            <w:gridSpan w:val="3"/>
          </w:tcPr>
          <w:p w14:paraId="78F5709B" w14:textId="77777777" w:rsidR="003F7D4F" w:rsidRPr="003F7D4F" w:rsidRDefault="003F7D4F" w:rsidP="003F7D4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D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Summary of proposed presentation (1-3 paragraphs): </w:t>
            </w:r>
          </w:p>
          <w:p w14:paraId="2C17FDE9" w14:textId="764BCBBE" w:rsidR="003F7D4F" w:rsidRPr="003F7D4F" w:rsidRDefault="003F7D4F" w:rsidP="003F7D4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F7D4F" w:rsidRPr="003F7D4F" w14:paraId="61BEA634" w14:textId="2F74AA43" w:rsidTr="00FD66C8">
        <w:tc>
          <w:tcPr>
            <w:tcW w:w="10435" w:type="dxa"/>
            <w:gridSpan w:val="3"/>
          </w:tcPr>
          <w:p w14:paraId="29B4A548" w14:textId="5A309654" w:rsidR="003F7D4F" w:rsidRPr="003F7D4F" w:rsidRDefault="003F7D4F" w:rsidP="003F7D4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D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Statement of novelty or impact, answering the question why would the NASPI community benefit from receiving this presentation? (1 paragraph):</w:t>
            </w:r>
          </w:p>
        </w:tc>
      </w:tr>
    </w:tbl>
    <w:p w14:paraId="4B267EA0" w14:textId="77777777" w:rsidR="006F3C87" w:rsidRPr="003F7D4F" w:rsidRDefault="006F3C87" w:rsidP="0079358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07A2CED" w14:textId="77777777" w:rsidR="003F7D4F" w:rsidRPr="003F7D4F" w:rsidRDefault="003F7D4F" w:rsidP="003F7D4F">
      <w:pPr>
        <w:spacing w:after="0" w:line="240" w:lineRule="auto"/>
        <w:rPr>
          <w:rFonts w:cstheme="minorHAnsi"/>
          <w:b/>
          <w:sz w:val="20"/>
          <w:szCs w:val="20"/>
        </w:rPr>
      </w:pPr>
      <w:r w:rsidRPr="003F7D4F">
        <w:rPr>
          <w:rFonts w:cstheme="minorHAnsi"/>
          <w:b/>
          <w:sz w:val="20"/>
          <w:szCs w:val="20"/>
        </w:rPr>
        <w:t>Topics of interest include but are not limited to:</w:t>
      </w:r>
    </w:p>
    <w:p w14:paraId="2A1A573E" w14:textId="77777777" w:rsidR="003F7D4F" w:rsidRPr="003F7D4F" w:rsidRDefault="003F7D4F" w:rsidP="003F7D4F">
      <w:pPr>
        <w:spacing w:after="0" w:line="240" w:lineRule="auto"/>
        <w:rPr>
          <w:rFonts w:cstheme="minorHAnsi"/>
          <w:sz w:val="20"/>
          <w:szCs w:val="20"/>
        </w:rPr>
      </w:pPr>
    </w:p>
    <w:p w14:paraId="5C3DCB1F" w14:textId="2DDF2DAC" w:rsidR="003F7D4F" w:rsidRPr="003F7D4F" w:rsidRDefault="003F7D4F" w:rsidP="003F7D4F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3F7D4F">
        <w:rPr>
          <w:rFonts w:cstheme="minorHAnsi"/>
          <w:sz w:val="20"/>
          <w:szCs w:val="20"/>
          <w:u w:val="single"/>
        </w:rPr>
        <w:t>Control Room Solutions</w:t>
      </w:r>
    </w:p>
    <w:p w14:paraId="49A64CDD" w14:textId="77777777" w:rsidR="003F7D4F" w:rsidRPr="003F7D4F" w:rsidRDefault="003F7D4F" w:rsidP="003F7D4F">
      <w:pPr>
        <w:pStyle w:val="ListParagraph"/>
        <w:numPr>
          <w:ilvl w:val="0"/>
          <w:numId w:val="17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Real or near-real time production decision-making tools addressing actual system problems</w:t>
      </w:r>
    </w:p>
    <w:p w14:paraId="0BDF83A5" w14:textId="77777777" w:rsidR="003F7D4F" w:rsidRPr="003F7D4F" w:rsidRDefault="003F7D4F" w:rsidP="003F7D4F">
      <w:pPr>
        <w:pStyle w:val="ListParagraph"/>
        <w:numPr>
          <w:ilvl w:val="0"/>
          <w:numId w:val="17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State estimation improvements</w:t>
      </w:r>
    </w:p>
    <w:p w14:paraId="18C9FDC0" w14:textId="77777777" w:rsidR="003F7D4F" w:rsidRPr="003F7D4F" w:rsidRDefault="003F7D4F" w:rsidP="003F7D4F">
      <w:pPr>
        <w:pStyle w:val="ListParagraph"/>
        <w:numPr>
          <w:ilvl w:val="0"/>
          <w:numId w:val="17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Backup SCADA implementations and lessons learned</w:t>
      </w:r>
    </w:p>
    <w:p w14:paraId="18187A0E" w14:textId="77777777" w:rsidR="003F7D4F" w:rsidRPr="003F7D4F" w:rsidRDefault="003F7D4F" w:rsidP="003F7D4F">
      <w:pPr>
        <w:pStyle w:val="ListParagraph"/>
        <w:numPr>
          <w:ilvl w:val="0"/>
          <w:numId w:val="17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 xml:space="preserve">EMS implementations with synchrophasor data integrated in operator views </w:t>
      </w:r>
    </w:p>
    <w:p w14:paraId="7E0F339D" w14:textId="77777777" w:rsidR="003F7D4F" w:rsidRPr="003F7D4F" w:rsidRDefault="003F7D4F" w:rsidP="003F7D4F">
      <w:pPr>
        <w:pStyle w:val="ListParagraph"/>
        <w:numPr>
          <w:ilvl w:val="0"/>
          <w:numId w:val="17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Generating plant or owner examples using the data for operating or analysis of events</w:t>
      </w:r>
    </w:p>
    <w:p w14:paraId="283C07A5" w14:textId="77777777" w:rsidR="003F7D4F" w:rsidRPr="003F7D4F" w:rsidRDefault="003F7D4F" w:rsidP="003F7D4F">
      <w:pPr>
        <w:pStyle w:val="ListParagraph"/>
        <w:numPr>
          <w:ilvl w:val="0"/>
          <w:numId w:val="17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Renewables integration</w:t>
      </w:r>
    </w:p>
    <w:p w14:paraId="21FE174A" w14:textId="77777777" w:rsidR="003F7D4F" w:rsidRPr="003F7D4F" w:rsidRDefault="003F7D4F" w:rsidP="003F7D4F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BD03D43" w14:textId="77777777" w:rsidR="003F7D4F" w:rsidRPr="003F7D4F" w:rsidRDefault="003F7D4F" w:rsidP="003F7D4F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3F7D4F">
        <w:rPr>
          <w:rFonts w:cstheme="minorHAnsi"/>
          <w:sz w:val="20"/>
          <w:szCs w:val="20"/>
          <w:u w:val="single"/>
        </w:rPr>
        <w:t>Data and Network Management Technical Area</w:t>
      </w:r>
    </w:p>
    <w:p w14:paraId="6ECB02D6" w14:textId="77777777" w:rsidR="003F7D4F" w:rsidRPr="003F7D4F" w:rsidRDefault="003F7D4F" w:rsidP="003F7D4F">
      <w:pPr>
        <w:pStyle w:val="ListParagraph"/>
        <w:numPr>
          <w:ilvl w:val="0"/>
          <w:numId w:val="18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PMU Data Quality Improvements Processes / Success stories</w:t>
      </w:r>
    </w:p>
    <w:p w14:paraId="7D38C13A" w14:textId="77777777" w:rsidR="003F7D4F" w:rsidRPr="003F7D4F" w:rsidRDefault="003F7D4F" w:rsidP="003F7D4F">
      <w:pPr>
        <w:pStyle w:val="ListParagraph"/>
        <w:numPr>
          <w:ilvl w:val="0"/>
          <w:numId w:val="18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Data archiving strategies</w:t>
      </w:r>
    </w:p>
    <w:p w14:paraId="0559C715" w14:textId="77777777" w:rsidR="003F7D4F" w:rsidRPr="003F7D4F" w:rsidRDefault="003F7D4F" w:rsidP="003F7D4F">
      <w:pPr>
        <w:pStyle w:val="ListParagraph"/>
        <w:numPr>
          <w:ilvl w:val="0"/>
          <w:numId w:val="18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Data query / reporting tools</w:t>
      </w:r>
    </w:p>
    <w:p w14:paraId="60373197" w14:textId="77777777" w:rsidR="003F7D4F" w:rsidRPr="003F7D4F" w:rsidRDefault="003F7D4F" w:rsidP="003F7D4F">
      <w:pPr>
        <w:pStyle w:val="ListParagraph"/>
        <w:numPr>
          <w:ilvl w:val="0"/>
          <w:numId w:val="18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PMU and signal naming convention</w:t>
      </w:r>
    </w:p>
    <w:p w14:paraId="40765A34" w14:textId="77777777" w:rsidR="003F7D4F" w:rsidRPr="003F7D4F" w:rsidRDefault="003F7D4F" w:rsidP="003F7D4F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76F4965" w14:textId="77777777" w:rsidR="003F7D4F" w:rsidRPr="003F7D4F" w:rsidRDefault="003F7D4F" w:rsidP="003F7D4F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3F7D4F">
        <w:rPr>
          <w:rFonts w:cstheme="minorHAnsi"/>
          <w:sz w:val="20"/>
          <w:szCs w:val="20"/>
          <w:u w:val="single"/>
        </w:rPr>
        <w:t>Distribution Applications</w:t>
      </w:r>
    </w:p>
    <w:p w14:paraId="235F6CA1" w14:textId="77777777" w:rsidR="003F7D4F" w:rsidRPr="003F7D4F" w:rsidRDefault="003F7D4F" w:rsidP="003F7D4F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Distribution PMU filtering algorithms, applications and impact on applications</w:t>
      </w:r>
    </w:p>
    <w:p w14:paraId="1ED7142A" w14:textId="77777777" w:rsidR="003F7D4F" w:rsidRPr="003F7D4F" w:rsidRDefault="003F7D4F" w:rsidP="003F7D4F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 xml:space="preserve">Tools for sensing and measurement strategy, e.g. SPOT and </w:t>
      </w:r>
      <w:proofErr w:type="spellStart"/>
      <w:r w:rsidRPr="003F7D4F">
        <w:rPr>
          <w:rFonts w:cstheme="minorHAnsi"/>
          <w:sz w:val="20"/>
          <w:szCs w:val="20"/>
        </w:rPr>
        <w:t>GridAPPS</w:t>
      </w:r>
      <w:proofErr w:type="spellEnd"/>
      <w:r w:rsidRPr="003F7D4F">
        <w:rPr>
          <w:rFonts w:cstheme="minorHAnsi"/>
          <w:sz w:val="20"/>
          <w:szCs w:val="20"/>
        </w:rPr>
        <w:t>-D</w:t>
      </w:r>
    </w:p>
    <w:p w14:paraId="3C2D4129" w14:textId="77777777" w:rsidR="003F7D4F" w:rsidRPr="003F7D4F" w:rsidRDefault="003F7D4F" w:rsidP="003F7D4F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Development of low-cost, synchrophasor-like time-stamped measurements for distribution</w:t>
      </w:r>
    </w:p>
    <w:p w14:paraId="2F299AB0" w14:textId="77777777" w:rsidR="003F7D4F" w:rsidRPr="003F7D4F" w:rsidRDefault="003F7D4F" w:rsidP="003F7D4F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Experience with new distribution PMU deployments</w:t>
      </w:r>
    </w:p>
    <w:p w14:paraId="6A200EC7" w14:textId="77777777" w:rsidR="003F7D4F" w:rsidRPr="003F7D4F" w:rsidRDefault="003F7D4F" w:rsidP="003F7D4F">
      <w:pPr>
        <w:pStyle w:val="ListParagraph"/>
        <w:numPr>
          <w:ilvl w:val="0"/>
          <w:numId w:val="19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Approaches for better understanding measurement accuracy and mitigating transducer errors</w:t>
      </w:r>
    </w:p>
    <w:p w14:paraId="6AE3D503" w14:textId="77777777" w:rsidR="003F7D4F" w:rsidRPr="003F7D4F" w:rsidRDefault="003F7D4F" w:rsidP="003F7D4F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16FC36F" w14:textId="77777777" w:rsidR="003F7D4F" w:rsidRPr="003F7D4F" w:rsidRDefault="003F7D4F" w:rsidP="003F7D4F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3F7D4F">
        <w:rPr>
          <w:rFonts w:cstheme="minorHAnsi"/>
          <w:sz w:val="20"/>
          <w:szCs w:val="20"/>
          <w:u w:val="single"/>
        </w:rPr>
        <w:t>Engineering Analysis Technical Area</w:t>
      </w:r>
    </w:p>
    <w:p w14:paraId="77A9502A" w14:textId="77777777" w:rsidR="003F7D4F" w:rsidRPr="003F7D4F" w:rsidRDefault="003F7D4F" w:rsidP="003F7D4F">
      <w:pPr>
        <w:pStyle w:val="ListParagraph"/>
        <w:numPr>
          <w:ilvl w:val="0"/>
          <w:numId w:val="20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Data mining and pattern recognition techniques</w:t>
      </w:r>
    </w:p>
    <w:p w14:paraId="3575491B" w14:textId="77777777" w:rsidR="003F7D4F" w:rsidRPr="003F7D4F" w:rsidRDefault="003F7D4F" w:rsidP="003F7D4F">
      <w:pPr>
        <w:pStyle w:val="ListParagraph"/>
        <w:numPr>
          <w:ilvl w:val="0"/>
          <w:numId w:val="20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Model validation applications</w:t>
      </w:r>
    </w:p>
    <w:p w14:paraId="6F824F5F" w14:textId="77777777" w:rsidR="003F7D4F" w:rsidRPr="003F7D4F" w:rsidRDefault="003F7D4F" w:rsidP="003F7D4F">
      <w:pPr>
        <w:pStyle w:val="ListParagraph"/>
        <w:numPr>
          <w:ilvl w:val="0"/>
          <w:numId w:val="20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 xml:space="preserve">Oscillation monitoring &amp; mitigation </w:t>
      </w:r>
    </w:p>
    <w:p w14:paraId="752BE30C" w14:textId="77777777" w:rsidR="003F7D4F" w:rsidRPr="003F7D4F" w:rsidRDefault="003F7D4F" w:rsidP="003F7D4F">
      <w:pPr>
        <w:pStyle w:val="ListParagraph"/>
        <w:numPr>
          <w:ilvl w:val="0"/>
          <w:numId w:val="20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Post-mortem event analysis</w:t>
      </w:r>
    </w:p>
    <w:p w14:paraId="2FB24729" w14:textId="77777777" w:rsidR="003F7D4F" w:rsidRPr="003F7D4F" w:rsidRDefault="003F7D4F" w:rsidP="003F7D4F">
      <w:pPr>
        <w:pStyle w:val="ListParagraph"/>
        <w:numPr>
          <w:ilvl w:val="0"/>
          <w:numId w:val="20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System protection</w:t>
      </w:r>
    </w:p>
    <w:p w14:paraId="6560B6DA" w14:textId="77777777" w:rsidR="003F7D4F" w:rsidRPr="003F7D4F" w:rsidRDefault="003F7D4F" w:rsidP="003F7D4F">
      <w:pPr>
        <w:spacing w:after="0" w:line="240" w:lineRule="auto"/>
        <w:rPr>
          <w:rFonts w:cstheme="minorHAnsi"/>
          <w:sz w:val="20"/>
          <w:szCs w:val="20"/>
        </w:rPr>
      </w:pPr>
    </w:p>
    <w:p w14:paraId="4A53A38F" w14:textId="77777777" w:rsidR="003F7D4F" w:rsidRPr="003F7D4F" w:rsidRDefault="003F7D4F" w:rsidP="003F7D4F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3F7D4F">
        <w:rPr>
          <w:rFonts w:cstheme="minorHAnsi"/>
          <w:sz w:val="20"/>
          <w:szCs w:val="20"/>
          <w:u w:val="single"/>
        </w:rPr>
        <w:t>Performance Requirements, Standards, and Verification Technical Area</w:t>
      </w:r>
    </w:p>
    <w:p w14:paraId="05B6810A" w14:textId="77777777" w:rsidR="003F7D4F" w:rsidRPr="003F7D4F" w:rsidRDefault="003F7D4F" w:rsidP="003F7D4F">
      <w:pPr>
        <w:pStyle w:val="ListParagraph"/>
        <w:numPr>
          <w:ilvl w:val="0"/>
          <w:numId w:val="21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Enabling broader adoption of phasor measurement technology through standardization</w:t>
      </w:r>
    </w:p>
    <w:p w14:paraId="4581192D" w14:textId="77777777" w:rsidR="003F7D4F" w:rsidRPr="003F7D4F" w:rsidRDefault="003F7D4F" w:rsidP="003F7D4F">
      <w:pPr>
        <w:pStyle w:val="ListParagraph"/>
        <w:numPr>
          <w:ilvl w:val="0"/>
          <w:numId w:val="21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Advances in the accuracy and applicability of high-speed time-synchronized measurements</w:t>
      </w:r>
    </w:p>
    <w:p w14:paraId="04AFA433" w14:textId="77777777" w:rsidR="003F7D4F" w:rsidRPr="003F7D4F" w:rsidRDefault="003F7D4F" w:rsidP="003F7D4F">
      <w:pPr>
        <w:pStyle w:val="ListParagraph"/>
        <w:numPr>
          <w:ilvl w:val="0"/>
          <w:numId w:val="21"/>
        </w:numPr>
        <w:spacing w:after="0" w:line="240" w:lineRule="auto"/>
        <w:ind w:left="720"/>
        <w:contextualSpacing w:val="0"/>
        <w:rPr>
          <w:rFonts w:cstheme="minorHAnsi"/>
          <w:sz w:val="20"/>
          <w:szCs w:val="20"/>
        </w:rPr>
      </w:pPr>
      <w:r w:rsidRPr="003F7D4F">
        <w:rPr>
          <w:rFonts w:cstheme="minorHAnsi"/>
          <w:sz w:val="20"/>
          <w:szCs w:val="20"/>
        </w:rPr>
        <w:t>Coordination with other standards bodies or organizations</w:t>
      </w:r>
    </w:p>
    <w:p w14:paraId="28AD2F19" w14:textId="77777777" w:rsidR="003A17C9" w:rsidRPr="003F7D4F" w:rsidRDefault="003A17C9" w:rsidP="0079358C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3A17C9" w:rsidRPr="003F7D4F" w:rsidSect="00C90D36">
      <w:headerReference w:type="default" r:id="rId12"/>
      <w:footerReference w:type="default" r:id="rId13"/>
      <w:headerReference w:type="first" r:id="rId14"/>
      <w:pgSz w:w="12240" w:h="15840"/>
      <w:pgMar w:top="1440" w:right="1152" w:bottom="1080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E995" w14:textId="77777777" w:rsidR="00BB403B" w:rsidRDefault="00BB403B" w:rsidP="00C94AC4">
      <w:pPr>
        <w:spacing w:after="0" w:line="240" w:lineRule="auto"/>
      </w:pPr>
      <w:r>
        <w:separator/>
      </w:r>
    </w:p>
  </w:endnote>
  <w:endnote w:type="continuationSeparator" w:id="0">
    <w:p w14:paraId="55C7A847" w14:textId="77777777" w:rsidR="00BB403B" w:rsidRDefault="00BB403B" w:rsidP="00C9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8498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5B017A" w14:textId="77777777" w:rsidR="00CF7C55" w:rsidRDefault="00CF7C5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7C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54A871" w14:textId="77777777" w:rsidR="00CF7C55" w:rsidRDefault="00CF7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ED297" w14:textId="77777777" w:rsidR="00BB403B" w:rsidRDefault="00BB403B" w:rsidP="00C94AC4">
      <w:pPr>
        <w:spacing w:after="0" w:line="240" w:lineRule="auto"/>
      </w:pPr>
      <w:r>
        <w:separator/>
      </w:r>
    </w:p>
  </w:footnote>
  <w:footnote w:type="continuationSeparator" w:id="0">
    <w:p w14:paraId="5322C3FB" w14:textId="77777777" w:rsidR="00BB403B" w:rsidRDefault="00BB403B" w:rsidP="00C9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F3CE" w14:textId="2E271B4A" w:rsidR="0079358C" w:rsidRPr="0079358C" w:rsidRDefault="0079358C" w:rsidP="002155B9">
    <w:pPr>
      <w:pStyle w:val="Header"/>
      <w:rPr>
        <w:b/>
      </w:rPr>
    </w:pPr>
  </w:p>
  <w:p w14:paraId="616FE1ED" w14:textId="3148D9F5" w:rsidR="00C94AC4" w:rsidRDefault="00C94AC4" w:rsidP="0079358C">
    <w:pPr>
      <w:pStyle w:val="Header"/>
    </w:pPr>
  </w:p>
  <w:p w14:paraId="1C3B34DD" w14:textId="77777777" w:rsidR="00C94AC4" w:rsidRDefault="00C94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52A4" w14:textId="77777777" w:rsidR="0079358C" w:rsidRDefault="0079358C" w:rsidP="0079358C">
    <w:pPr>
      <w:pStyle w:val="Header"/>
      <w:jc w:val="center"/>
    </w:pPr>
    <w:r>
      <w:rPr>
        <w:noProof/>
      </w:rPr>
      <w:drawing>
        <wp:inline distT="0" distB="0" distL="0" distR="0" wp14:anchorId="3BFE7FE3" wp14:editId="05C83D95">
          <wp:extent cx="4572000" cy="820616"/>
          <wp:effectExtent l="0" t="0" r="0" b="0"/>
          <wp:docPr id="5" name="Picture 5" descr="C:\Users\d3a936\Documents\Documents\01_NASPI\Original graphics_logo_for NASPI web site\NASPI_tex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3a936\Documents\Documents\01_NASPI\Original graphics_logo_for NASPI web site\NASPI_tex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82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55DC"/>
    <w:multiLevelType w:val="hybridMultilevel"/>
    <w:tmpl w:val="24E48224"/>
    <w:lvl w:ilvl="0" w:tplc="7B88B3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5FB3"/>
    <w:multiLevelType w:val="hybridMultilevel"/>
    <w:tmpl w:val="2F0AE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03E48"/>
    <w:multiLevelType w:val="hybridMultilevel"/>
    <w:tmpl w:val="1BF04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C122C"/>
    <w:multiLevelType w:val="hybridMultilevel"/>
    <w:tmpl w:val="C2FE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34EA"/>
    <w:multiLevelType w:val="hybridMultilevel"/>
    <w:tmpl w:val="455E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77B8"/>
    <w:multiLevelType w:val="hybridMultilevel"/>
    <w:tmpl w:val="2E64257C"/>
    <w:lvl w:ilvl="0" w:tplc="7C6A82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1EA1"/>
    <w:multiLevelType w:val="hybridMultilevel"/>
    <w:tmpl w:val="68726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A7F20"/>
    <w:multiLevelType w:val="hybridMultilevel"/>
    <w:tmpl w:val="6AA6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62F67"/>
    <w:multiLevelType w:val="hybridMultilevel"/>
    <w:tmpl w:val="6B2C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04093"/>
    <w:multiLevelType w:val="hybridMultilevel"/>
    <w:tmpl w:val="FD6E2188"/>
    <w:lvl w:ilvl="0" w:tplc="383237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27BC6"/>
    <w:multiLevelType w:val="hybridMultilevel"/>
    <w:tmpl w:val="65D2A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1C775E"/>
    <w:multiLevelType w:val="hybridMultilevel"/>
    <w:tmpl w:val="21C25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B5BBC"/>
    <w:multiLevelType w:val="hybridMultilevel"/>
    <w:tmpl w:val="01624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DD7330"/>
    <w:multiLevelType w:val="hybridMultilevel"/>
    <w:tmpl w:val="9154C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46EA2"/>
    <w:multiLevelType w:val="hybridMultilevel"/>
    <w:tmpl w:val="3A26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87750"/>
    <w:multiLevelType w:val="hybridMultilevel"/>
    <w:tmpl w:val="33FA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5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3"/>
  </w:num>
  <w:num w:numId="17">
    <w:abstractNumId w:val="12"/>
  </w:num>
  <w:num w:numId="18">
    <w:abstractNumId w:val="10"/>
  </w:num>
  <w:num w:numId="19">
    <w:abstractNumId w:val="1"/>
  </w:num>
  <w:num w:numId="20">
    <w:abstractNumId w:val="2"/>
  </w:num>
  <w:num w:numId="21">
    <w:abstractNumId w:val="13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2B"/>
    <w:rsid w:val="00094A6B"/>
    <w:rsid w:val="00171370"/>
    <w:rsid w:val="00175072"/>
    <w:rsid w:val="001C3DDD"/>
    <w:rsid w:val="001C73CC"/>
    <w:rsid w:val="002120E7"/>
    <w:rsid w:val="002155B9"/>
    <w:rsid w:val="00215A36"/>
    <w:rsid w:val="00234AAD"/>
    <w:rsid w:val="00247F87"/>
    <w:rsid w:val="0025149A"/>
    <w:rsid w:val="002579C8"/>
    <w:rsid w:val="002A5738"/>
    <w:rsid w:val="00375C15"/>
    <w:rsid w:val="003A17C9"/>
    <w:rsid w:val="003A21AE"/>
    <w:rsid w:val="003F7D4F"/>
    <w:rsid w:val="00442673"/>
    <w:rsid w:val="004515E6"/>
    <w:rsid w:val="00483434"/>
    <w:rsid w:val="004A753C"/>
    <w:rsid w:val="004B0A6A"/>
    <w:rsid w:val="004B406D"/>
    <w:rsid w:val="004C1AF1"/>
    <w:rsid w:val="004E71AA"/>
    <w:rsid w:val="005D10C7"/>
    <w:rsid w:val="0069459F"/>
    <w:rsid w:val="006F3C87"/>
    <w:rsid w:val="00730F9D"/>
    <w:rsid w:val="00743582"/>
    <w:rsid w:val="0079358C"/>
    <w:rsid w:val="0089648D"/>
    <w:rsid w:val="008B03F0"/>
    <w:rsid w:val="008C12D1"/>
    <w:rsid w:val="00957BF2"/>
    <w:rsid w:val="00965E4E"/>
    <w:rsid w:val="009842B3"/>
    <w:rsid w:val="009B4898"/>
    <w:rsid w:val="009B792F"/>
    <w:rsid w:val="009F39B4"/>
    <w:rsid w:val="00A00E8D"/>
    <w:rsid w:val="00AB7926"/>
    <w:rsid w:val="00B10E2F"/>
    <w:rsid w:val="00B953AC"/>
    <w:rsid w:val="00BB403B"/>
    <w:rsid w:val="00C821BB"/>
    <w:rsid w:val="00C854E7"/>
    <w:rsid w:val="00C87611"/>
    <w:rsid w:val="00C878B0"/>
    <w:rsid w:val="00C90D36"/>
    <w:rsid w:val="00C94AC4"/>
    <w:rsid w:val="00CD0CD6"/>
    <w:rsid w:val="00CD1E7B"/>
    <w:rsid w:val="00CE2DA5"/>
    <w:rsid w:val="00CF7C55"/>
    <w:rsid w:val="00D03ADF"/>
    <w:rsid w:val="00D86F3D"/>
    <w:rsid w:val="00D9519C"/>
    <w:rsid w:val="00E1432B"/>
    <w:rsid w:val="00E23037"/>
    <w:rsid w:val="00E55FFD"/>
    <w:rsid w:val="00F32C0C"/>
    <w:rsid w:val="00F666E2"/>
    <w:rsid w:val="00FE671B"/>
    <w:rsid w:val="00FF0002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754D55D"/>
  <w15:docId w15:val="{2166FA6E-119B-4226-B0DB-CA2DD732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AC4"/>
  </w:style>
  <w:style w:type="paragraph" w:styleId="Footer">
    <w:name w:val="footer"/>
    <w:basedOn w:val="Normal"/>
    <w:link w:val="FooterChar"/>
    <w:uiPriority w:val="99"/>
    <w:unhideWhenUsed/>
    <w:rsid w:val="00C9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AC4"/>
  </w:style>
  <w:style w:type="character" w:styleId="Hyperlink">
    <w:name w:val="Hyperlink"/>
    <w:basedOn w:val="DefaultParagraphFont"/>
    <w:uiPriority w:val="99"/>
    <w:unhideWhenUsed/>
    <w:rsid w:val="00C94A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79C8"/>
    <w:pPr>
      <w:ind w:left="720"/>
      <w:contextualSpacing/>
    </w:pPr>
  </w:style>
  <w:style w:type="paragraph" w:customStyle="1" w:styleId="Default">
    <w:name w:val="Default"/>
    <w:rsid w:val="00094A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0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spi@pnnl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aspi@pnnl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F36F4612E6045BBFD4D1D1F6F33ED" ma:contentTypeVersion="11" ma:contentTypeDescription="Create a new document." ma:contentTypeScope="" ma:versionID="83a56a048546f9ababe42d509398be88">
  <xsd:schema xmlns:xsd="http://www.w3.org/2001/XMLSchema" xmlns:xs="http://www.w3.org/2001/XMLSchema" xmlns:p="http://schemas.microsoft.com/office/2006/metadata/properties" xmlns:ns3="42eedf0e-16e3-40d8-b4f5-9d0d38c77504" xmlns:ns4="1aeba456-6728-441e-aa38-1f5b592cb80d" targetNamespace="http://schemas.microsoft.com/office/2006/metadata/properties" ma:root="true" ma:fieldsID="96fa3953d5e59a48af3295a2a2b381f8" ns3:_="" ns4:_="">
    <xsd:import namespace="42eedf0e-16e3-40d8-b4f5-9d0d38c77504"/>
    <xsd:import namespace="1aeba456-6728-441e-aa38-1f5b592cb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edf0e-16e3-40d8-b4f5-9d0d38c7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a456-6728-441e-aa38-1f5b592cb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F7F2C-F7DC-4B60-9671-C869E132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edf0e-16e3-40d8-b4f5-9d0d38c77504"/>
    <ds:schemaRef ds:uri="1aeba456-6728-441e-aa38-1f5b592cb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5A8B7-7DE8-4C5E-A03E-018847476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2786A-3E04-49C8-A109-0D191EF0108A}">
  <ds:schemaRefs>
    <ds:schemaRef ds:uri="http://schemas.microsoft.com/office/infopath/2007/PartnerControls"/>
    <ds:schemaRef ds:uri="http://schemas.microsoft.com/office/2006/metadata/properties"/>
    <ds:schemaRef ds:uri="1aeba456-6728-441e-aa38-1f5b592cb80d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42eedf0e-16e3-40d8-b4f5-9d0d38c7750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 IM Services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Carlon, Teresa A</dc:creator>
  <cp:keywords/>
  <dc:description/>
  <cp:lastModifiedBy>Carlon, Teresa A</cp:lastModifiedBy>
  <cp:revision>3</cp:revision>
  <dcterms:created xsi:type="dcterms:W3CDTF">2019-12-12T18:16:00Z</dcterms:created>
  <dcterms:modified xsi:type="dcterms:W3CDTF">2019-12-13T00:29:00Z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0x010100949F36F4612E6045BBFD4D1D1F6F33ED</vt:lpwstr>
  </property>
</Properties>
</file>